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C86C81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2016 - 2017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sports in schools. The Government was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from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CA579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have been working hard to spend the money in a way that will benefit the children’s health and wellbeing and improve their attitudes and behaviour towards their learning.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462B9D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imary School was allocated £8580</w:t>
      </w:r>
      <w:bookmarkStart w:id="0" w:name="_GoBack"/>
      <w:bookmarkEnd w:id="0"/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CE3CFB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2016/17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.</w:t>
      </w:r>
    </w:p>
    <w:p w:rsidR="00B10EF7" w:rsidRPr="00454F05" w:rsidRDefault="00B10EF7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Funding has so far been used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C86C81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C86C81" w:rsidRPr="00454F05" w:rsidTr="00C86C81">
        <w:trPr>
          <w:trHeight w:val="322"/>
        </w:trPr>
        <w:tc>
          <w:tcPr>
            <w:tcW w:w="3742" w:type="dxa"/>
          </w:tcPr>
          <w:p w:rsidR="00C86C81" w:rsidRPr="00454F05" w:rsidRDefault="00C86C81" w:rsidP="00EA183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 PE CPD for staff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£992</w:t>
            </w:r>
          </w:p>
        </w:tc>
        <w:tc>
          <w:tcPr>
            <w:tcW w:w="4891" w:type="dxa"/>
          </w:tcPr>
          <w:p w:rsidR="00C86C81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Raised confidence in staff and high quality teaching and learning in PE</w:t>
            </w:r>
          </w:p>
        </w:tc>
      </w:tr>
      <w:tr w:rsidR="00C86C81" w:rsidRPr="00454F05" w:rsidTr="00C86C81">
        <w:trPr>
          <w:trHeight w:val="307"/>
        </w:trPr>
        <w:tc>
          <w:tcPr>
            <w:tcW w:w="3742" w:type="dxa"/>
          </w:tcPr>
          <w:p w:rsidR="00C86C81" w:rsidRPr="00454F05" w:rsidRDefault="00C86C81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PE planning delivered by a PE specialist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£1015</w:t>
            </w:r>
          </w:p>
        </w:tc>
        <w:tc>
          <w:tcPr>
            <w:tcW w:w="4891" w:type="dxa"/>
          </w:tcPr>
          <w:p w:rsidR="00C86C81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Coverage of all national curriculum requirements for PE across the school. High quality lesson plans in place.</w:t>
            </w:r>
          </w:p>
        </w:tc>
      </w:tr>
      <w:tr w:rsidR="00C86C81" w:rsidRPr="00454F05" w:rsidTr="00C86C81">
        <w:trPr>
          <w:trHeight w:val="322"/>
        </w:trPr>
        <w:tc>
          <w:tcPr>
            <w:tcW w:w="3742" w:type="dxa"/>
          </w:tcPr>
          <w:p w:rsidR="00C86C81" w:rsidRPr="00454F05" w:rsidRDefault="00C86C81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Supply and install PE wall bars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£4910</w:t>
            </w:r>
          </w:p>
        </w:tc>
        <w:tc>
          <w:tcPr>
            <w:tcW w:w="4891" w:type="dxa"/>
          </w:tcPr>
          <w:p w:rsidR="00C86C81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Extended opportunities for PE lessons in the hall.</w:t>
            </w: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  <w:r w:rsidRPr="00454F05">
        <w:rPr>
          <w:rFonts w:ascii="Bell MT" w:hAnsi="Bell MT"/>
          <w:sz w:val="28"/>
          <w:szCs w:val="28"/>
        </w:rPr>
        <w:t>Unspent funds will be carried forward into the next fiscal and academic year.</w:t>
      </w:r>
    </w:p>
    <w:sectPr w:rsidR="00692D33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3E54A3"/>
    <w:rsid w:val="003E7B1B"/>
    <w:rsid w:val="00454F05"/>
    <w:rsid w:val="00455D97"/>
    <w:rsid w:val="00462B9D"/>
    <w:rsid w:val="00692D33"/>
    <w:rsid w:val="006D46A8"/>
    <w:rsid w:val="006D4C2D"/>
    <w:rsid w:val="00810059"/>
    <w:rsid w:val="008C119D"/>
    <w:rsid w:val="00A953E3"/>
    <w:rsid w:val="00B10EF7"/>
    <w:rsid w:val="00C86C81"/>
    <w:rsid w:val="00CA579A"/>
    <w:rsid w:val="00CB0D24"/>
    <w:rsid w:val="00CE3CFB"/>
    <w:rsid w:val="00EA183E"/>
    <w:rsid w:val="00E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Head @ Colgate Primary</cp:lastModifiedBy>
  <cp:revision>2</cp:revision>
  <cp:lastPrinted>2015-09-15T08:49:00Z</cp:lastPrinted>
  <dcterms:created xsi:type="dcterms:W3CDTF">2017-09-25T10:07:00Z</dcterms:created>
  <dcterms:modified xsi:type="dcterms:W3CDTF">2017-09-25T10:07:00Z</dcterms:modified>
</cp:coreProperties>
</file>